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4910" w:rsidRPr="005C3241" w:rsidRDefault="00E30DF2" w:rsidP="00E30DF2">
      <w:pPr>
        <w:ind w:left="720"/>
        <w:jc w:val="center"/>
        <w:rPr>
          <w:b/>
          <w:sz w:val="24"/>
          <w:szCs w:val="24"/>
        </w:rPr>
      </w:pPr>
      <w:bookmarkStart w:id="0" w:name="_GoBack"/>
      <w:bookmarkEnd w:id="0"/>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"Однажды мы придем с гнилыми помидорами...", автор - А.А. Николаенко, источник публикации - </w:t>
            </w:r>
            <w:r w:rsidRPr="005C3241">
              <w:rPr>
                <w:sz w:val="24"/>
                <w:szCs w:val="24"/>
              </w:rPr>
              <w:lastRenderedPageBreak/>
              <w:t>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"Каббала", автор – Вострягов В.А. Издавалась в ООО «Сандерс» (средство массовой </w:t>
            </w:r>
            <w:r w:rsidRPr="005C3241">
              <w:rPr>
                <w:sz w:val="24"/>
                <w:szCs w:val="24"/>
              </w:rPr>
              <w:lastRenderedPageBreak/>
              <w:t>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«Исламское государство»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статьи «Апофеоз прелюдий» газеты «PARA BELLUM» № 9 за декабрь 2005 </w:t>
            </w:r>
            <w:r w:rsidRPr="005C3241">
              <w:rPr>
                <w:sz w:val="24"/>
                <w:szCs w:val="24"/>
              </w:rPr>
              <w:lastRenderedPageBreak/>
              <w:t>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«Сознание «Аль-Ваъй» № 203 (решение Правобережного районного суда г. Магнитогорска </w:t>
            </w:r>
            <w:r w:rsidRPr="005C3241">
              <w:rPr>
                <w:sz w:val="24"/>
                <w:szCs w:val="24"/>
              </w:rPr>
              <w:lastRenderedPageBreak/>
              <w:t>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«Система Ислама»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Стихотворение «Чуда-Юда» за подписью «Николай Федоров» (решение Южно-Сахалинского городского </w:t>
            </w:r>
            <w:r w:rsidRPr="005C3241">
              <w:rPr>
                <w:sz w:val="24"/>
                <w:szCs w:val="24"/>
              </w:rPr>
              <w:lastRenderedPageBreak/>
              <w:t>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«Деим гор (Remake)» музыкальной группы «Циклон Б» (решение Нагатинского суда г. </w:t>
            </w:r>
            <w:r w:rsidRPr="005C3241">
              <w:rPr>
                <w:sz w:val="24"/>
                <w:szCs w:val="24"/>
              </w:rPr>
              <w:lastRenderedPageBreak/>
              <w:t>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«Мы верим – Вы поможете!» (решение Онгудайского районного суда Республики Алтай от 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w:t>
            </w:r>
            <w:r w:rsidRPr="005C3241">
              <w:rPr>
                <w:sz w:val="24"/>
                <w:szCs w:val="24"/>
              </w:rPr>
              <w:lastRenderedPageBreak/>
              <w:t>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w:t>
            </w:r>
            <w:r w:rsidRPr="005C3241">
              <w:rPr>
                <w:sz w:val="24"/>
                <w:szCs w:val="24"/>
              </w:rPr>
              <w:lastRenderedPageBreak/>
              <w:t>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w:t>
            </w:r>
            <w:r w:rsidRPr="005C3241">
              <w:rPr>
                <w:sz w:val="24"/>
                <w:szCs w:val="24"/>
              </w:rPr>
              <w:lastRenderedPageBreak/>
              <w:t>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«Аль-Ваъй» № 206, состоящий из 26 листов (решение Кузьминского районного суда г. Москвы </w:t>
            </w:r>
            <w:r w:rsidRPr="005C3241">
              <w:rPr>
                <w:sz w:val="24"/>
                <w:szCs w:val="24"/>
              </w:rPr>
              <w:lastRenderedPageBreak/>
              <w:t>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102 за декабрь 2003 года (решение Касимовсокго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w:t>
            </w:r>
            <w:r w:rsidRPr="005C3241">
              <w:rPr>
                <w:sz w:val="24"/>
                <w:szCs w:val="24"/>
              </w:rPr>
              <w:lastRenderedPageBreak/>
              <w:t>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w:t>
            </w:r>
            <w:r w:rsidRPr="005C3241">
              <w:rPr>
                <w:sz w:val="24"/>
                <w:szCs w:val="24"/>
              </w:rPr>
              <w:lastRenderedPageBreak/>
              <w:t>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w:t>
            </w:r>
            <w:r w:rsidRPr="005C3241">
              <w:rPr>
                <w:sz w:val="24"/>
                <w:szCs w:val="24"/>
              </w:rPr>
              <w:lastRenderedPageBreak/>
              <w:t>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революционных коллективистов «Пролетарская революция», № 6 (ч. 2), июнь 2004 г. (решения </w:t>
            </w:r>
            <w:r w:rsidRPr="005C3241">
              <w:rPr>
                <w:sz w:val="24"/>
                <w:szCs w:val="24"/>
              </w:rPr>
              <w:lastRenderedPageBreak/>
              <w:t>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глобальной сети «Интернет» на web – сайте по электронному адресу: WWW/RFVRFZCENTER.COM «Объединенный Вилайат Кабарды, Балкарии и </w:t>
            </w:r>
            <w:r w:rsidRPr="005C3241">
              <w:rPr>
                <w:sz w:val="24"/>
                <w:szCs w:val="24"/>
              </w:rPr>
              <w:lastRenderedPageBreak/>
              <w:t>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"Закят. Его место в исламе. Пост в Рамадане, его значение для мусульман", авторы Э.Кулиев и </w:t>
            </w:r>
            <w:r w:rsidRPr="005C3241">
              <w:rPr>
                <w:sz w:val="24"/>
                <w:szCs w:val="24"/>
              </w:rPr>
              <w:lastRenderedPageBreak/>
              <w:t>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газеты «Черносотенная» № 1,2 (ноябрь 2006 года) (решение Центрального </w:t>
            </w:r>
            <w:r w:rsidRPr="005C3241">
              <w:rPr>
                <w:sz w:val="24"/>
                <w:szCs w:val="24"/>
              </w:rPr>
              <w:lastRenderedPageBreak/>
              <w:t>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w:t>
            </w:r>
            <w:r w:rsidRPr="005C3241">
              <w:rPr>
                <w:sz w:val="24"/>
                <w:szCs w:val="24"/>
              </w:rPr>
              <w:lastRenderedPageBreak/>
              <w:t>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«Политические воззрения Хизб-ут-Тахрир»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w:t>
            </w:r>
            <w:r w:rsidRPr="005C3241">
              <w:rPr>
                <w:sz w:val="24"/>
                <w:szCs w:val="24"/>
              </w:rPr>
              <w:lastRenderedPageBreak/>
              <w:t>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Мартина фон Моргана «Русский Террор» (решение Тверского районного суда г. Москвы от 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w:t>
            </w:r>
            <w:r w:rsidRPr="005C3241">
              <w:rPr>
                <w:sz w:val="24"/>
                <w:szCs w:val="24"/>
              </w:rPr>
              <w:lastRenderedPageBreak/>
              <w:t>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w:t>
            </w:r>
            <w:r w:rsidRPr="005C3241">
              <w:rPr>
                <w:sz w:val="24"/>
                <w:szCs w:val="24"/>
              </w:rPr>
              <w:lastRenderedPageBreak/>
              <w:t>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под названием «Обращение генеральному секретарю Организации Исламской Конференции </w:t>
            </w:r>
            <w:r w:rsidRPr="005C3241">
              <w:rPr>
                <w:sz w:val="24"/>
                <w:szCs w:val="24"/>
              </w:rPr>
              <w:lastRenderedPageBreak/>
              <w:t>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lastRenderedPageBreak/>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w:t>
            </w:r>
            <w:r w:rsidRPr="005C3241">
              <w:rPr>
                <w:sz w:val="24"/>
                <w:szCs w:val="24"/>
              </w:rPr>
              <w:lastRenderedPageBreak/>
              <w:t>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«Сторожевая Башня возвещает царство Иеговы» от 1 марта 2002 издательство Watch tower Bible </w:t>
            </w:r>
            <w:r w:rsidRPr="005C3241">
              <w:rPr>
                <w:sz w:val="24"/>
                <w:szCs w:val="24"/>
              </w:rPr>
              <w:lastRenderedPageBreak/>
              <w:t>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w:t>
            </w:r>
            <w:r w:rsidRPr="005C3241">
              <w:rPr>
                <w:sz w:val="24"/>
                <w:szCs w:val="24"/>
              </w:rPr>
              <w:lastRenderedPageBreak/>
              <w:t>«СЕМИНАР.mav»,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w:t>
            </w:r>
            <w:r w:rsidRPr="005C3241">
              <w:rPr>
                <w:sz w:val="24"/>
                <w:szCs w:val="24"/>
              </w:rPr>
              <w:lastRenderedPageBreak/>
              <w:t>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w:t>
            </w:r>
            <w:r w:rsidRPr="005C3241">
              <w:rPr>
                <w:sz w:val="24"/>
                <w:szCs w:val="24"/>
              </w:rPr>
              <w:lastRenderedPageBreak/>
              <w:t>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под наименованием «След сатаны на тайных тропах истории» со ссылками на автора </w:t>
            </w:r>
            <w:r w:rsidRPr="005C3241">
              <w:rPr>
                <w:sz w:val="24"/>
                <w:szCs w:val="24"/>
              </w:rPr>
              <w:lastRenderedPageBreak/>
              <w:t>«Д.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w:t>
            </w:r>
            <w:r w:rsidRPr="005C3241">
              <w:rPr>
                <w:sz w:val="24"/>
                <w:szCs w:val="24"/>
              </w:rPr>
              <w:lastRenderedPageBreak/>
              <w:t>(решение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w:t>
            </w:r>
            <w:r w:rsidRPr="005C3241">
              <w:rPr>
                <w:sz w:val="24"/>
                <w:szCs w:val="24"/>
              </w:rPr>
              <w:lastRenderedPageBreak/>
              <w:t>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w:t>
            </w:r>
            <w:r w:rsidRPr="005C3241">
              <w:rPr>
                <w:sz w:val="24"/>
                <w:szCs w:val="24"/>
              </w:rPr>
              <w:lastRenderedPageBreak/>
              <w:t>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w:t>
            </w:r>
            <w:r w:rsidRPr="005C3241">
              <w:rPr>
                <w:sz w:val="24"/>
                <w:szCs w:val="24"/>
              </w:rPr>
              <w:lastRenderedPageBreak/>
              <w:t>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Фильм «Иерусалим и черная ненависть», содержащийся на ДВД-диске (решение Соль-Илецкого </w:t>
            </w:r>
            <w:r w:rsidRPr="005C3241">
              <w:rPr>
                <w:sz w:val="24"/>
                <w:szCs w:val="24"/>
              </w:rPr>
              <w:lastRenderedPageBreak/>
              <w:t>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http://www.ingushetia.org (решение Магасского районного суда Республики Ингушетия 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w:t>
            </w:r>
            <w:r w:rsidRPr="005C3241">
              <w:rPr>
                <w:sz w:val="24"/>
                <w:szCs w:val="24"/>
              </w:rPr>
              <w:lastRenderedPageBreak/>
              <w:t>–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w:t>
            </w:r>
            <w:r w:rsidRPr="005C3241">
              <w:rPr>
                <w:sz w:val="24"/>
                <w:szCs w:val="24"/>
              </w:rPr>
              <w:lastRenderedPageBreak/>
              <w:t>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«Концепция Хизб-Ут-Тахрир», автор Такийю-д-дин Набханий, Шестое </w:t>
            </w:r>
            <w:r w:rsidRPr="005C3241">
              <w:rPr>
                <w:sz w:val="24"/>
                <w:szCs w:val="24"/>
              </w:rPr>
              <w:lastRenderedPageBreak/>
              <w:t>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«Львы и шакалы»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Печатная брошюра на 4 листах, озаглавленная «О люди! Какие еще знамения и потрясения должны </w:t>
            </w:r>
            <w:r w:rsidRPr="005C3241">
              <w:rPr>
                <w:sz w:val="24"/>
                <w:szCs w:val="24"/>
              </w:rPr>
              <w:lastRenderedPageBreak/>
              <w:t>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w:t>
            </w:r>
            <w:r w:rsidRPr="005C3241">
              <w:rPr>
                <w:sz w:val="24"/>
                <w:szCs w:val="24"/>
              </w:rPr>
              <w:lastRenderedPageBreak/>
              <w:t>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w:t>
            </w:r>
            <w:r w:rsidRPr="005C3241">
              <w:rPr>
                <w:sz w:val="24"/>
                <w:szCs w:val="24"/>
              </w:rPr>
              <w:lastRenderedPageBreak/>
              <w:t>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w:t>
            </w:r>
            <w:r w:rsidRPr="005C3241">
              <w:rPr>
                <w:sz w:val="24"/>
                <w:szCs w:val="24"/>
              </w:rPr>
              <w:lastRenderedPageBreak/>
              <w:t>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w:t>
            </w:r>
            <w:r w:rsidRPr="005C3241">
              <w:rPr>
                <w:sz w:val="24"/>
                <w:szCs w:val="24"/>
              </w:rPr>
              <w:lastRenderedPageBreak/>
              <w:t>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w:t>
            </w:r>
            <w:r w:rsidRPr="005C3241">
              <w:rPr>
                <w:sz w:val="24"/>
                <w:szCs w:val="24"/>
              </w:rPr>
              <w:lastRenderedPageBreak/>
              <w:t>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«Транскрипция аятов Системы Ислама» (решение Нефтеюганского городского </w:t>
            </w:r>
            <w:r w:rsidRPr="005C3241">
              <w:rPr>
                <w:sz w:val="24"/>
                <w:szCs w:val="24"/>
              </w:rPr>
              <w:lastRenderedPageBreak/>
              <w:t>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«Спасибо за увольнение», «Согласен с повышением тарифов ЖКХ»... (решение </w:t>
            </w:r>
            <w:r w:rsidRPr="005C3241">
              <w:rPr>
                <w:sz w:val="24"/>
                <w:szCs w:val="24"/>
              </w:rPr>
              <w:lastRenderedPageBreak/>
              <w:t>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w:t>
            </w:r>
            <w:r w:rsidRPr="005C3241">
              <w:rPr>
                <w:sz w:val="24"/>
                <w:szCs w:val="24"/>
              </w:rPr>
              <w:lastRenderedPageBreak/>
              <w:t>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w:t>
            </w:r>
            <w:r w:rsidRPr="005C3241">
              <w:rPr>
                <w:sz w:val="24"/>
                <w:szCs w:val="24"/>
              </w:rPr>
              <w:lastRenderedPageBreak/>
              <w:t>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w:t>
            </w:r>
            <w:r w:rsidRPr="005C3241">
              <w:rPr>
                <w:sz w:val="24"/>
                <w:szCs w:val="24"/>
              </w:rPr>
              <w:lastRenderedPageBreak/>
              <w:t>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0C5A39"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«Объявление для печати. Призыв сесть за стол переговоров в Йемене, всего, лишь, очередная </w:t>
            </w:r>
            <w:r w:rsidRPr="005C3241">
              <w:rPr>
                <w:sz w:val="24"/>
                <w:szCs w:val="24"/>
              </w:rPr>
              <w:lastRenderedPageBreak/>
              <w:t>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«Эй, победители крестоносцев и татар…Эй, население сердца Ислама, будьте осторожны, бойтесь </w:t>
            </w:r>
            <w:r w:rsidRPr="005C3241">
              <w:rPr>
                <w:sz w:val="24"/>
                <w:szCs w:val="24"/>
              </w:rPr>
              <w:lastRenderedPageBreak/>
              <w:t>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www.limonka.nbp-info.ru (решение Первомайского районного суда г. Кирова Кировской </w:t>
            </w:r>
            <w:r w:rsidRPr="005C3241">
              <w:rPr>
                <w:sz w:val="24"/>
                <w:szCs w:val="24"/>
              </w:rPr>
              <w:lastRenderedPageBreak/>
              <w:t>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w:t>
            </w:r>
            <w:r w:rsidRPr="005C3241">
              <w:rPr>
                <w:sz w:val="24"/>
                <w:szCs w:val="24"/>
              </w:rPr>
              <w:lastRenderedPageBreak/>
              <w:t>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«Где искать фашистов в России» (решение Центрального районного суда г. </w:t>
            </w:r>
            <w:r w:rsidRPr="005C3241">
              <w:rPr>
                <w:sz w:val="24"/>
                <w:szCs w:val="24"/>
              </w:rPr>
              <w:lastRenderedPageBreak/>
              <w:t>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 союзе с «хорошими евреями» Глазунов - Эренбургу» (решение Самарского районного суда </w:t>
            </w:r>
            <w:r w:rsidRPr="005C3241">
              <w:rPr>
                <w:sz w:val="24"/>
                <w:szCs w:val="24"/>
              </w:rPr>
              <w:lastRenderedPageBreak/>
              <w:t>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«SKIN-HEADS»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w:t>
            </w:r>
            <w:r w:rsidRPr="005C3241">
              <w:rPr>
                <w:sz w:val="24"/>
                <w:szCs w:val="24"/>
              </w:rPr>
              <w:lastRenderedPageBreak/>
              <w:t>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w:t>
            </w:r>
            <w:r w:rsidRPr="005C3241">
              <w:rPr>
                <w:sz w:val="24"/>
                <w:szCs w:val="24"/>
              </w:rPr>
              <w:lastRenderedPageBreak/>
              <w:t>«http://vkontakte.ru/club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Видеоклип «Последнее интервью Приморских партизан», размещенный в международной компьютерной </w:t>
            </w:r>
            <w:r w:rsidRPr="005C3241">
              <w:rPr>
                <w:sz w:val="24"/>
                <w:szCs w:val="24"/>
              </w:rPr>
              <w:lastRenderedPageBreak/>
              <w:t>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Всероссийский журнал «Русская правда» № 10А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«100 советов исламской молодежи» без автора (решение Первомайского районного суда города </w:t>
            </w:r>
            <w:r w:rsidRPr="005C3241">
              <w:rPr>
                <w:sz w:val="24"/>
                <w:szCs w:val="24"/>
              </w:rPr>
              <w:lastRenderedPageBreak/>
              <w:t>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«Люди первой подрасы» (решение Яльчикского районного суда Чувашской Республики </w:t>
            </w:r>
            <w:r w:rsidRPr="005C3241">
              <w:rPr>
                <w:sz w:val="24"/>
                <w:szCs w:val="24"/>
              </w:rPr>
              <w:lastRenderedPageBreak/>
              <w:t>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w:t>
            </w:r>
            <w:r w:rsidRPr="005C3241">
              <w:rPr>
                <w:sz w:val="24"/>
                <w:szCs w:val="24"/>
              </w:rPr>
              <w:lastRenderedPageBreak/>
              <w:t>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w:t>
            </w:r>
            <w:r w:rsidRPr="005C3241">
              <w:rPr>
                <w:sz w:val="24"/>
                <w:szCs w:val="24"/>
              </w:rPr>
              <w:lastRenderedPageBreak/>
              <w:t>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w:t>
            </w:r>
            <w:r w:rsidRPr="005C3241">
              <w:rPr>
                <w:sz w:val="24"/>
                <w:szCs w:val="24"/>
              </w:rPr>
              <w:lastRenderedPageBreak/>
              <w:t>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Насира ибн Хамада Аль-Аммара «Дружба и непричастность в исламе» (Саудовская Аравия-Баку: </w:t>
            </w:r>
            <w:r w:rsidRPr="005C3241">
              <w:rPr>
                <w:sz w:val="24"/>
                <w:szCs w:val="24"/>
              </w:rPr>
              <w:lastRenderedPageBreak/>
              <w:t>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«Звезда Селенной» № 1/31 январь 2007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http://www.ispovednik.com./veroispovedanie-rospc-ii (решение Первомайского районного суда города Кирова </w:t>
            </w:r>
            <w:r w:rsidRPr="005C3241">
              <w:rPr>
                <w:sz w:val="24"/>
                <w:szCs w:val="24"/>
              </w:rPr>
              <w:lastRenderedPageBreak/>
              <w:t>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w:t>
            </w:r>
            <w:r w:rsidRPr="005C3241">
              <w:rPr>
                <w:sz w:val="24"/>
                <w:szCs w:val="24"/>
              </w:rPr>
              <w:lastRenderedPageBreak/>
              <w:t>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w:t>
            </w:r>
            <w:r w:rsidRPr="005C3241">
              <w:rPr>
                <w:sz w:val="24"/>
                <w:szCs w:val="24"/>
              </w:rPr>
              <w:lastRenderedPageBreak/>
              <w:t>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http://abror.info/ - «Информационное агентство Вилайята ГIалгIайче» (решение </w:t>
            </w:r>
            <w:r w:rsidRPr="005C3241">
              <w:rPr>
                <w:sz w:val="24"/>
                <w:szCs w:val="24"/>
              </w:rPr>
              <w:lastRenderedPageBreak/>
              <w:t>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w:t>
            </w:r>
            <w:r w:rsidRPr="005C3241">
              <w:rPr>
                <w:sz w:val="24"/>
                <w:szCs w:val="24"/>
              </w:rPr>
              <w:lastRenderedPageBreak/>
              <w:t>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DVD диск с видеофильмом «Очистим наш дом» (решение Ленинского районного суда города Оренбурга от </w:t>
            </w:r>
            <w:r w:rsidRPr="005C3241">
              <w:rPr>
                <w:sz w:val="24"/>
                <w:szCs w:val="24"/>
              </w:rPr>
              <w:lastRenderedPageBreak/>
              <w:t>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Комментарий к видеоролику под названием: «В Башкирии курица снесла яйцо с надписью «Аллах», </w:t>
            </w:r>
            <w:r w:rsidRPr="005C3241">
              <w:rPr>
                <w:sz w:val="24"/>
                <w:szCs w:val="24"/>
              </w:rPr>
              <w:lastRenderedPageBreak/>
              <w:t>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http://www.shamilonline.org и информационные материалы, размещенные на нем (решения </w:t>
            </w:r>
            <w:r w:rsidRPr="005C3241">
              <w:rPr>
                <w:sz w:val="24"/>
                <w:szCs w:val="24"/>
              </w:rPr>
              <w:lastRenderedPageBreak/>
              <w:t>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(видеоматериал) с названием: «Жидовский песах» (решение Центрального районного суда </w:t>
            </w:r>
            <w:r w:rsidRPr="005C3241">
              <w:rPr>
                <w:sz w:val="24"/>
                <w:szCs w:val="24"/>
              </w:rPr>
              <w:lastRenderedPageBreak/>
              <w:t>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«Вот загадка для детей…»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w:t>
            </w:r>
            <w:r w:rsidRPr="005C3241">
              <w:rPr>
                <w:sz w:val="24"/>
                <w:szCs w:val="24"/>
              </w:rPr>
              <w:lastRenderedPageBreak/>
              <w:t>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«Записки мимоходом (продолжение)»,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w:t>
            </w:r>
            <w:r w:rsidRPr="005C3241">
              <w:rPr>
                <w:sz w:val="24"/>
                <w:szCs w:val="24"/>
              </w:rPr>
              <w:lastRenderedPageBreak/>
              <w:t>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t>
            </w:r>
            <w:r w:rsidRPr="005C3241">
              <w:rPr>
                <w:sz w:val="24"/>
                <w:szCs w:val="24"/>
              </w:rPr>
              <w:lastRenderedPageBreak/>
              <w:t>«www.vkontakte.ru»,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Выступление Далгатова Исы Варутдиновича, 1987 года рождения, уроженца г. Избербаш и Эсельдерова </w:t>
            </w:r>
            <w:r w:rsidRPr="005C3241">
              <w:rPr>
                <w:sz w:val="24"/>
                <w:szCs w:val="24"/>
              </w:rPr>
              <w:lastRenderedPageBreak/>
              <w:t>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«православный бард Всеволод Правый - зик хай (за Русь святую)», </w:t>
            </w:r>
            <w:r w:rsidRPr="005C3241">
              <w:rPr>
                <w:sz w:val="24"/>
                <w:szCs w:val="24"/>
              </w:rPr>
              <w:lastRenderedPageBreak/>
              <w:t>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под названием «Доберман - Европа» (решение Вологодского городского суда Вологодской </w:t>
            </w:r>
            <w:r w:rsidRPr="005C3241">
              <w:rPr>
                <w:sz w:val="24"/>
                <w:szCs w:val="24"/>
              </w:rPr>
              <w:lastRenderedPageBreak/>
              <w:t>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Аудиозапись «С_П_Р_О_Т – Расист», размещенная на Интернет – странице http://vkontakte.ru (id15338492) </w:t>
            </w:r>
            <w:r w:rsidRPr="005C3241">
              <w:rPr>
                <w:sz w:val="24"/>
                <w:szCs w:val="24"/>
              </w:rPr>
              <w:lastRenderedPageBreak/>
              <w:t>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w:t>
            </w:r>
            <w:r w:rsidRPr="005C3241">
              <w:rPr>
                <w:sz w:val="24"/>
                <w:szCs w:val="24"/>
              </w:rPr>
              <w:lastRenderedPageBreak/>
              <w:t>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Брошюра Бадиуззамана Саида Нурси «Тайна человеческого «Я» и мельчайшей частицы» из собрания </w:t>
            </w:r>
            <w:r w:rsidRPr="005C3241">
              <w:rPr>
                <w:sz w:val="24"/>
                <w:szCs w:val="24"/>
              </w:rPr>
              <w:lastRenderedPageBreak/>
              <w:t>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w:t>
            </w:r>
            <w:r w:rsidRPr="005C3241">
              <w:rPr>
                <w:sz w:val="24"/>
                <w:szCs w:val="24"/>
              </w:rPr>
              <w:lastRenderedPageBreak/>
              <w:t>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w:t>
            </w:r>
            <w:r w:rsidRPr="005C3241">
              <w:rPr>
                <w:sz w:val="24"/>
                <w:szCs w:val="24"/>
              </w:rPr>
              <w:lastRenderedPageBreak/>
              <w:t>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размещенный в информационно-коммуникационной сети Интернет </w:t>
            </w:r>
            <w:r w:rsidRPr="005C3241">
              <w:rPr>
                <w:sz w:val="24"/>
                <w:szCs w:val="24"/>
              </w:rPr>
              <w:lastRenderedPageBreak/>
              <w:t>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«Слабонервным не смотреть» (Дагестан)», http://vk.com/id63931114-145280716, загружен 07.06.2010 в 22:26:27 (95.175.247.254), автор исходного ролика http://vkontakte.ru/id6731871, прямая ссылка: </w:t>
            </w:r>
            <w:r w:rsidRPr="005C3241">
              <w:rPr>
                <w:sz w:val="24"/>
                <w:szCs w:val="24"/>
              </w:rPr>
              <w:lastRenderedPageBreak/>
              <w:t>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w:t>
            </w:r>
            <w:r w:rsidRPr="005C3241">
              <w:rPr>
                <w:sz w:val="24"/>
                <w:szCs w:val="24"/>
              </w:rPr>
              <w:lastRenderedPageBreak/>
              <w:t>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«Радикальное похмелье», размещенная на Интернет сайте http:/rusinfo.cc, а также в социальной сети </w:t>
            </w:r>
            <w:r w:rsidRPr="005C3241">
              <w:rPr>
                <w:sz w:val="24"/>
                <w:szCs w:val="24"/>
              </w:rPr>
              <w:lastRenderedPageBreak/>
              <w:t>«В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Надписи в группе «УФА ТАТАРЛАРЫ--- ---УФИМСКИЕ ТАТАРЫ», размещенные пользователем под </w:t>
            </w:r>
            <w:r w:rsidRPr="005C3241">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w:t>
            </w:r>
            <w:r w:rsidRPr="005C3241">
              <w:rPr>
                <w:sz w:val="24"/>
                <w:szCs w:val="24"/>
              </w:rPr>
              <w:lastRenderedPageBreak/>
              <w:t>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 и видео файлы, размещенные в сети «Интернет» на ресурсе http://vk.com/id77274380: аудиофайл «А. </w:t>
            </w:r>
            <w:r w:rsidRPr="005C3241">
              <w:rPr>
                <w:sz w:val="24"/>
                <w:szCs w:val="24"/>
              </w:rPr>
              <w:lastRenderedPageBreak/>
              <w:t>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w:t>
            </w:r>
            <w:r w:rsidRPr="005C3241">
              <w:rPr>
                <w:sz w:val="24"/>
                <w:szCs w:val="24"/>
              </w:rPr>
              <w:lastRenderedPageBreak/>
              <w:t>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w:t>
            </w:r>
            <w:r w:rsidRPr="005C3241">
              <w:rPr>
                <w:sz w:val="24"/>
                <w:szCs w:val="24"/>
              </w:rPr>
              <w:lastRenderedPageBreak/>
              <w:t>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w:t>
            </w:r>
            <w:r w:rsidRPr="005C3241">
              <w:rPr>
                <w:sz w:val="24"/>
                <w:szCs w:val="24"/>
              </w:rPr>
              <w:lastRenderedPageBreak/>
              <w:t>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w:t>
            </w:r>
            <w:r w:rsidRPr="005C3241">
              <w:rPr>
                <w:sz w:val="24"/>
                <w:szCs w:val="24"/>
              </w:rPr>
              <w:lastRenderedPageBreak/>
              <w:t>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Интернет-страница Виноградова Д.А. в социальной сети «В контакте», расположенная по электронному </w:t>
            </w:r>
            <w:r w:rsidRPr="005C3241">
              <w:rPr>
                <w:sz w:val="24"/>
                <w:szCs w:val="24"/>
              </w:rPr>
              <w:lastRenderedPageBreak/>
              <w:t>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936E53"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936E53"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8"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6"/>
        <w:gridCol w:w="1544"/>
        <w:gridCol w:w="9"/>
        <w:gridCol w:w="1559"/>
      </w:tblGrid>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0C5A39">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0C5A39">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C5A39">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C5A39">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C5A39">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C5A39">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0C5A39">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0C5A3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1" w:name="OLE_LINK80"/>
            <w:bookmarkStart w:id="2" w:name="OLE_LINK81"/>
            <w:r w:rsidRPr="005C3241">
              <w:rPr>
                <w:sz w:val="24"/>
                <w:szCs w:val="24"/>
              </w:rPr>
              <w:t>16.11.2018</w:t>
            </w:r>
            <w:bookmarkEnd w:id="1"/>
            <w:bookmarkEnd w:id="2"/>
          </w:p>
        </w:tc>
      </w:tr>
      <w:tr w:rsidR="005C3241" w:rsidRPr="005C3241" w:rsidTr="000C5A3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C5A39">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936E53" w:rsidRPr="00936E53"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5015.</w:t>
            </w:r>
          </w:p>
        </w:tc>
        <w:tc>
          <w:tcPr>
            <w:tcW w:w="1205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5016.</w:t>
            </w:r>
          </w:p>
        </w:tc>
        <w:tc>
          <w:tcPr>
            <w:tcW w:w="1205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01.04.2020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06.05.2020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06.05.2020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02.06.2020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bl>
    <w:p w:rsidR="000C5A39" w:rsidRPr="005C3241" w:rsidRDefault="000C5A39" w:rsidP="003B76C5">
      <w:pPr>
        <w:rPr>
          <w:sz w:val="24"/>
          <w:szCs w:val="24"/>
        </w:rPr>
      </w:pPr>
    </w:p>
    <w:sectPr w:rsidR="000C5A39" w:rsidRPr="005C3241"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5859" w:rsidRDefault="000E5859">
      <w:r>
        <w:separator/>
      </w:r>
    </w:p>
  </w:endnote>
  <w:endnote w:type="continuationSeparator" w:id="0">
    <w:p w:rsidR="000E5859" w:rsidRDefault="000E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5859" w:rsidRDefault="000E5859">
      <w:r>
        <w:separator/>
      </w:r>
    </w:p>
  </w:footnote>
  <w:footnote w:type="continuationSeparator" w:id="0">
    <w:p w:rsidR="000E5859" w:rsidRDefault="000E5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642" w:rsidRDefault="00765642" w:rsidP="00130459">
    <w:pPr>
      <w:pStyle w:val="a6"/>
      <w:jc w:val="center"/>
    </w:pPr>
    <w:r>
      <w:fldChar w:fldCharType="begin"/>
    </w:r>
    <w:r>
      <w:instrText>PAGE   \* MERGEFORMAT</w:instrText>
    </w:r>
    <w:r>
      <w:fldChar w:fldCharType="separate"/>
    </w:r>
    <w:r w:rsidR="000C5A39">
      <w:rPr>
        <w:noProof/>
      </w:rPr>
      <w:t>573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15:restartNumberingAfterBreak="0">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15:restartNumberingAfterBreak="0">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15:restartNumberingAfterBreak="0">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15:restartNumberingAfterBreak="0">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9301D"/>
    <w:rsid w:val="000A30E9"/>
    <w:rsid w:val="000B1196"/>
    <w:rsid w:val="000B156A"/>
    <w:rsid w:val="000B1738"/>
    <w:rsid w:val="000B1C74"/>
    <w:rsid w:val="000C5A39"/>
    <w:rsid w:val="000D45C5"/>
    <w:rsid w:val="000D4848"/>
    <w:rsid w:val="000D6788"/>
    <w:rsid w:val="000E1217"/>
    <w:rsid w:val="000E5142"/>
    <w:rsid w:val="000E5859"/>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69F"/>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36E53"/>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132"/>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8236C"/>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F400AA-F8AD-1445-A059-4532280F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5169614">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266026">
      <w:bodyDiv w:val="1"/>
      <w:marLeft w:val="0"/>
      <w:marRight w:val="0"/>
      <w:marTop w:val="0"/>
      <w:marBottom w:val="0"/>
      <w:divBdr>
        <w:top w:val="none" w:sz="0" w:space="0" w:color="auto"/>
        <w:left w:val="none" w:sz="0" w:space="0" w:color="auto"/>
        <w:bottom w:val="none" w:sz="0" w:space="0" w:color="auto"/>
        <w:right w:val="none" w:sz="0" w:space="0" w:color="auto"/>
      </w:divBdr>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8362">
      <w:bodyDiv w:val="1"/>
      <w:marLeft w:val="0"/>
      <w:marRight w:val="0"/>
      <w:marTop w:val="0"/>
      <w:marBottom w:val="0"/>
      <w:divBdr>
        <w:top w:val="none" w:sz="0" w:space="0" w:color="auto"/>
        <w:left w:val="none" w:sz="0" w:space="0" w:color="auto"/>
        <w:bottom w:val="none" w:sz="0" w:space="0" w:color="auto"/>
        <w:right w:val="none" w:sz="0" w:space="0" w:color="auto"/>
      </w:divBdr>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326508">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2931774">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31804869">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58888694">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1315993">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DCFF-E0D9-BF46-8F07-6914F44F20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189</Pages>
  <Words>228297</Words>
  <Characters>1301293</Characters>
  <Application>Microsoft Office Word</Application>
  <DocSecurity>0</DocSecurity>
  <Lines>10844</Lines>
  <Paragraphs>3053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Мария Степанова</cp:lastModifiedBy>
  <cp:revision>2</cp:revision>
  <cp:lastPrinted>2016-04-27T13:02:00Z</cp:lastPrinted>
  <dcterms:created xsi:type="dcterms:W3CDTF">2020-06-22T01:52:00Z</dcterms:created>
  <dcterms:modified xsi:type="dcterms:W3CDTF">2020-06-22T01:52:00Z</dcterms:modified>
</cp:coreProperties>
</file>